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092A" w14:textId="77777777" w:rsidR="007006DC" w:rsidRPr="0062201B" w:rsidRDefault="007006DC" w:rsidP="006A45C7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kern w:val="3"/>
          <w:sz w:val="2"/>
          <w:szCs w:val="2"/>
          <w:lang w:eastAsia="uk-UA"/>
        </w:rPr>
      </w:pPr>
      <w:bookmarkStart w:id="0" w:name="_GoBack"/>
      <w:bookmarkEnd w:id="0"/>
    </w:p>
    <w:p w14:paraId="76F5E384" w14:textId="77777777" w:rsidR="006A45C7" w:rsidRPr="0062201B" w:rsidRDefault="006A45C7" w:rsidP="006A45C7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uk-UA"/>
        </w:rPr>
      </w:pPr>
      <w:r w:rsidRPr="0062201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uk-UA"/>
        </w:rPr>
        <w:t>ЗАТВЕРДЖЕНО</w:t>
      </w:r>
    </w:p>
    <w:p w14:paraId="52264992" w14:textId="77777777" w:rsidR="006A45C7" w:rsidRPr="0062201B" w:rsidRDefault="006A45C7" w:rsidP="006A45C7">
      <w:pPr>
        <w:shd w:val="clear" w:color="auto" w:fill="FFFFFF"/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uk-UA"/>
        </w:rPr>
      </w:pPr>
      <w:r w:rsidRPr="006220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uk-UA"/>
        </w:rPr>
        <w:t>рішення міської ради</w:t>
      </w:r>
    </w:p>
    <w:p w14:paraId="21E14161" w14:textId="6286189C" w:rsidR="006A45C7" w:rsidRPr="0062201B" w:rsidRDefault="006A45C7" w:rsidP="006A45C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201B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від </w:t>
      </w:r>
      <w:r w:rsidR="0062201B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>18.11.</w:t>
      </w:r>
      <w:r w:rsidRPr="0062201B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2021  </w:t>
      </w:r>
      <w:r w:rsidRPr="0062201B">
        <w:rPr>
          <w:rFonts w:ascii="Times New Roman" w:eastAsia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 xml:space="preserve">№ </w:t>
      </w:r>
      <w:r w:rsidR="00205E74">
        <w:rPr>
          <w:rFonts w:ascii="Times New Roman" w:eastAsia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>1126</w:t>
      </w:r>
      <w:r w:rsidRPr="0062201B">
        <w:rPr>
          <w:rFonts w:ascii="Times New Roman" w:eastAsia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>-17/2021</w:t>
      </w:r>
    </w:p>
    <w:p w14:paraId="5995E9D3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381758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E4870C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uk-UA"/>
        </w:rPr>
      </w:pPr>
      <w:r w:rsidRPr="0062201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uk-UA"/>
        </w:rPr>
        <w:t>ПРОГРАМА</w:t>
      </w:r>
    </w:p>
    <w:p w14:paraId="731DCFC4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розвитку агропромислового комплексу </w:t>
      </w:r>
      <w:proofErr w:type="spellStart"/>
      <w:r w:rsidRPr="0062201B">
        <w:rPr>
          <w:rFonts w:ascii="Times New Roman" w:eastAsia="Calibri" w:hAnsi="Times New Roman" w:cs="Times New Roman"/>
          <w:b/>
          <w:sz w:val="28"/>
          <w:szCs w:val="28"/>
        </w:rPr>
        <w:t>Долинської</w:t>
      </w:r>
      <w:proofErr w:type="spellEnd"/>
      <w:r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 територіальної громади  на 2022-2025 роки</w:t>
      </w:r>
    </w:p>
    <w:p w14:paraId="59B88E82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</w:pPr>
    </w:p>
    <w:p w14:paraId="183FF841" w14:textId="77777777" w:rsidR="006A45C7" w:rsidRPr="0062201B" w:rsidRDefault="006A45C7" w:rsidP="006A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</w:pPr>
      <w:r w:rsidRPr="0062201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  <w:t> </w:t>
      </w:r>
      <w:r w:rsidRPr="0062201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uk-UA"/>
        </w:rPr>
        <w:t>ПАСПОРТ</w:t>
      </w:r>
      <w:r w:rsidRPr="0062201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  <w:t> </w:t>
      </w:r>
    </w:p>
    <w:p w14:paraId="6923A616" w14:textId="77777777" w:rsidR="008926EF" w:rsidRPr="0062201B" w:rsidRDefault="008926EF" w:rsidP="00BA63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3557"/>
        <w:gridCol w:w="5781"/>
      </w:tblGrid>
      <w:tr w:rsidR="008926EF" w:rsidRPr="0062201B" w14:paraId="1E050F47" w14:textId="77777777" w:rsidTr="006A45C7">
        <w:trPr>
          <w:trHeight w:val="669"/>
        </w:trPr>
        <w:tc>
          <w:tcPr>
            <w:tcW w:w="351" w:type="pct"/>
            <w:vAlign w:val="center"/>
          </w:tcPr>
          <w:p w14:paraId="17A776FB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1" w:type="pct"/>
            <w:vAlign w:val="center"/>
          </w:tcPr>
          <w:p w14:paraId="0E8C3E9F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878" w:type="pct"/>
            <w:vAlign w:val="center"/>
          </w:tcPr>
          <w:p w14:paraId="354B1F85" w14:textId="77777777" w:rsidR="008926EF" w:rsidRPr="0062201B" w:rsidRDefault="006A45C7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Долинська</w:t>
            </w:r>
            <w:proofErr w:type="spellEnd"/>
            <w:r w:rsidR="008926EF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міська рада</w:t>
            </w:r>
          </w:p>
        </w:tc>
      </w:tr>
      <w:tr w:rsidR="008926EF" w:rsidRPr="0062201B" w14:paraId="4F7DC7B9" w14:textId="77777777" w:rsidTr="006A45C7">
        <w:trPr>
          <w:trHeight w:val="653"/>
        </w:trPr>
        <w:tc>
          <w:tcPr>
            <w:tcW w:w="351" w:type="pct"/>
            <w:vAlign w:val="center"/>
          </w:tcPr>
          <w:p w14:paraId="4327E817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1" w:type="pct"/>
            <w:vAlign w:val="center"/>
          </w:tcPr>
          <w:p w14:paraId="6CFF9744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878" w:type="pct"/>
            <w:vAlign w:val="center"/>
          </w:tcPr>
          <w:p w14:paraId="245AEE89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Управління  економіки </w:t>
            </w:r>
            <w:proofErr w:type="spellStart"/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Долинської</w:t>
            </w:r>
            <w:proofErr w:type="spellEnd"/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8926EF" w:rsidRPr="0062201B" w14:paraId="0C1EBED5" w14:textId="77777777" w:rsidTr="006A45C7">
        <w:trPr>
          <w:trHeight w:val="669"/>
        </w:trPr>
        <w:tc>
          <w:tcPr>
            <w:tcW w:w="351" w:type="pct"/>
            <w:vAlign w:val="center"/>
          </w:tcPr>
          <w:p w14:paraId="2763E8C3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1" w:type="pct"/>
            <w:vAlign w:val="center"/>
          </w:tcPr>
          <w:p w14:paraId="3EE5518A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878" w:type="pct"/>
            <w:vAlign w:val="center"/>
          </w:tcPr>
          <w:p w14:paraId="7E75E6A8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Управління </w:t>
            </w:r>
            <w:r w:rsidR="009D137A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економіки </w:t>
            </w:r>
            <w:proofErr w:type="spellStart"/>
            <w:r w:rsidR="009D137A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Долинської</w:t>
            </w:r>
            <w:proofErr w:type="spellEnd"/>
            <w:r w:rsidR="009D137A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8926EF" w:rsidRPr="0062201B" w14:paraId="49B50099" w14:textId="77777777" w:rsidTr="006A45C7">
        <w:trPr>
          <w:trHeight w:val="995"/>
        </w:trPr>
        <w:tc>
          <w:tcPr>
            <w:tcW w:w="351" w:type="pct"/>
            <w:vAlign w:val="center"/>
          </w:tcPr>
          <w:p w14:paraId="128BB857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1" w:type="pct"/>
            <w:vAlign w:val="center"/>
          </w:tcPr>
          <w:p w14:paraId="152B959C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2878" w:type="pct"/>
            <w:vAlign w:val="center"/>
          </w:tcPr>
          <w:p w14:paraId="44173765" w14:textId="77777777" w:rsidR="008926EF" w:rsidRPr="0062201B" w:rsidRDefault="008926EF" w:rsidP="004937F8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Виконавч</w:t>
            </w:r>
            <w:r w:rsidR="004937F8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органи </w:t>
            </w:r>
            <w:proofErr w:type="spellStart"/>
            <w:r w:rsidR="009D137A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Долинської</w:t>
            </w:r>
            <w:proofErr w:type="spellEnd"/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</w:t>
            </w:r>
            <w:r w:rsidRPr="006220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20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фермерські господарства, особисті селянські господарства</w:t>
            </w:r>
            <w:r w:rsidRPr="0062201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8926EF" w:rsidRPr="0062201B" w14:paraId="33AFE861" w14:textId="77777777" w:rsidTr="006A45C7">
        <w:trPr>
          <w:trHeight w:val="669"/>
        </w:trPr>
        <w:tc>
          <w:tcPr>
            <w:tcW w:w="351" w:type="pct"/>
            <w:vAlign w:val="center"/>
          </w:tcPr>
          <w:p w14:paraId="3FE4BE6E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1" w:type="pct"/>
            <w:vAlign w:val="center"/>
          </w:tcPr>
          <w:p w14:paraId="456A5B6D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878" w:type="pct"/>
            <w:vAlign w:val="center"/>
          </w:tcPr>
          <w:p w14:paraId="1C4239CB" w14:textId="77777777" w:rsidR="008926EF" w:rsidRPr="0062201B" w:rsidRDefault="00816E01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8926EF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-2025 роки</w:t>
            </w:r>
          </w:p>
        </w:tc>
      </w:tr>
      <w:tr w:rsidR="008926EF" w:rsidRPr="0062201B" w14:paraId="03EB8E3D" w14:textId="77777777" w:rsidTr="006A45C7">
        <w:trPr>
          <w:trHeight w:val="1322"/>
        </w:trPr>
        <w:tc>
          <w:tcPr>
            <w:tcW w:w="351" w:type="pct"/>
            <w:vAlign w:val="center"/>
          </w:tcPr>
          <w:p w14:paraId="7E729D96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771" w:type="pct"/>
            <w:vAlign w:val="center"/>
          </w:tcPr>
          <w:p w14:paraId="0E148738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джерел фінансування, які використовуються при виконанні Програми</w:t>
            </w:r>
          </w:p>
        </w:tc>
        <w:tc>
          <w:tcPr>
            <w:tcW w:w="2878" w:type="pct"/>
            <w:vAlign w:val="center"/>
          </w:tcPr>
          <w:p w14:paraId="44942F68" w14:textId="39B5D39B" w:rsidR="008926EF" w:rsidRPr="0062201B" w:rsidRDefault="008926EF" w:rsidP="006A4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9D137A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Долинської</w:t>
            </w:r>
            <w:proofErr w:type="spellEnd"/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територ</w:t>
            </w:r>
            <w:r w:rsidR="0062201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альної громади</w:t>
            </w:r>
          </w:p>
        </w:tc>
      </w:tr>
      <w:tr w:rsidR="008926EF" w:rsidRPr="0062201B" w14:paraId="7E1F51B6" w14:textId="77777777" w:rsidTr="006A45C7">
        <w:trPr>
          <w:trHeight w:val="1680"/>
        </w:trPr>
        <w:tc>
          <w:tcPr>
            <w:tcW w:w="351" w:type="pct"/>
            <w:vAlign w:val="center"/>
          </w:tcPr>
          <w:p w14:paraId="7EBC6B62" w14:textId="77777777" w:rsidR="008926EF" w:rsidRPr="0062201B" w:rsidRDefault="008926EF" w:rsidP="00BA63B7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7.</w:t>
            </w:r>
          </w:p>
        </w:tc>
        <w:tc>
          <w:tcPr>
            <w:tcW w:w="1771" w:type="pct"/>
            <w:vAlign w:val="center"/>
          </w:tcPr>
          <w:p w14:paraId="1D709BC5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  <w:p w14:paraId="04149023" w14:textId="77777777" w:rsidR="008926EF" w:rsidRPr="0062201B" w:rsidRDefault="008926EF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vAlign w:val="center"/>
          </w:tcPr>
          <w:p w14:paraId="23EA51B4" w14:textId="549D1ADB" w:rsidR="008926EF" w:rsidRPr="0062201B" w:rsidRDefault="000C34BD" w:rsidP="00BA63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  <w:r w:rsidR="008926EF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2B17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тис</w:t>
            </w:r>
            <w:r w:rsidR="008926EF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. грн</w:t>
            </w:r>
          </w:p>
          <w:p w14:paraId="6F4D28B3" w14:textId="3B2D5184" w:rsidR="000E2B17" w:rsidRPr="0062201B" w:rsidRDefault="000E2B17" w:rsidP="000C3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r w:rsidR="000C34BD"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2201B">
              <w:rPr>
                <w:rFonts w:ascii="Times New Roman" w:eastAsia="Calibri" w:hAnsi="Times New Roman" w:cs="Times New Roman"/>
                <w:sz w:val="28"/>
                <w:szCs w:val="28"/>
              </w:rPr>
              <w:t>50 тис. грн щорічно)</w:t>
            </w:r>
          </w:p>
        </w:tc>
      </w:tr>
    </w:tbl>
    <w:p w14:paraId="128EA888" w14:textId="77777777" w:rsidR="002D1D9B" w:rsidRPr="0062201B" w:rsidRDefault="002D1D9B" w:rsidP="0016686B">
      <w:pPr>
        <w:spacing w:before="150" w:after="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</w:pPr>
      <w:r w:rsidRPr="0062201B">
        <w:rPr>
          <w:color w:val="000000"/>
          <w:sz w:val="28"/>
          <w:szCs w:val="28"/>
          <w:lang w:eastAsia="uk-UA"/>
        </w:rPr>
        <w:t>8.</w:t>
      </w:r>
      <w:r w:rsidRPr="0062201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uk-UA"/>
        </w:rPr>
        <w:t xml:space="preserve">  Очікувані результати виконання Програми:</w:t>
      </w:r>
    </w:p>
    <w:p w14:paraId="05E4352A" w14:textId="77777777" w:rsidR="002D1D9B" w:rsidRPr="0062201B" w:rsidRDefault="002D1D9B" w:rsidP="001668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>підвищення ефективності аграрного виробництва, подолання негативних явищ в окремих напрямках агропромислового комплексу громади та забезпечення стабільності її розвитку.</w:t>
      </w:r>
    </w:p>
    <w:p w14:paraId="1ED831E0" w14:textId="77777777" w:rsidR="008926EF" w:rsidRPr="0062201B" w:rsidRDefault="002D1D9B" w:rsidP="002D1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2201B">
        <w:rPr>
          <w:color w:val="000000"/>
          <w:sz w:val="28"/>
          <w:szCs w:val="28"/>
          <w:lang w:eastAsia="uk-UA"/>
        </w:rPr>
        <w:t xml:space="preserve">9. </w:t>
      </w:r>
      <w:r w:rsidR="006A45C7" w:rsidRPr="0062201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Інформацію про виконання заходів Програми заслуховувати в І кварталі, починаючи з</w:t>
      </w:r>
      <w:r w:rsidRPr="0062201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45C7" w:rsidRPr="0062201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2023 року.</w:t>
      </w:r>
    </w:p>
    <w:p w14:paraId="66FE18E4" w14:textId="77777777" w:rsidR="0016686B" w:rsidRPr="0062201B" w:rsidRDefault="0016686B" w:rsidP="002D1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3D0DDDB6" w14:textId="77777777" w:rsidR="0016686B" w:rsidRPr="0062201B" w:rsidRDefault="0016686B" w:rsidP="002D1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7FF64C2" w14:textId="4BC6BF76" w:rsidR="00B44BEF" w:rsidRDefault="00B44BEF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5D67251B" w14:textId="77777777" w:rsidR="0016686B" w:rsidRPr="0062201B" w:rsidRDefault="0016686B" w:rsidP="0016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uk-UA"/>
        </w:rPr>
      </w:pPr>
      <w:r w:rsidRPr="0062201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uk-UA"/>
        </w:rPr>
        <w:lastRenderedPageBreak/>
        <w:t>ПРОГРАМА</w:t>
      </w:r>
    </w:p>
    <w:p w14:paraId="590754FF" w14:textId="77777777" w:rsidR="0016686B" w:rsidRPr="0062201B" w:rsidRDefault="0016686B" w:rsidP="0016686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розвитку агропромислового комплексу </w:t>
      </w:r>
      <w:proofErr w:type="spellStart"/>
      <w:r w:rsidRPr="0062201B">
        <w:rPr>
          <w:rFonts w:ascii="Times New Roman" w:eastAsia="Calibri" w:hAnsi="Times New Roman" w:cs="Times New Roman"/>
          <w:b/>
          <w:sz w:val="28"/>
          <w:szCs w:val="28"/>
        </w:rPr>
        <w:t>Долинської</w:t>
      </w:r>
      <w:proofErr w:type="spellEnd"/>
      <w:r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 територіальної громади  на 2022-2025 роки</w:t>
      </w:r>
    </w:p>
    <w:p w14:paraId="0954B2D3" w14:textId="77777777" w:rsidR="008926EF" w:rsidRPr="0062201B" w:rsidRDefault="0016686B" w:rsidP="00B44B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. Визначення проблем, на </w:t>
      </w:r>
      <w:r w:rsidR="008926EF" w:rsidRPr="006220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розв’язання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  яких спрямована Програма</w:t>
      </w:r>
    </w:p>
    <w:p w14:paraId="115D099E" w14:textId="77777777" w:rsidR="008926EF" w:rsidRPr="0062201B" w:rsidRDefault="008926EF" w:rsidP="00B4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             Програма розвитку агропромислового комплексу </w:t>
      </w:r>
      <w:proofErr w:type="spellStart"/>
      <w:r w:rsidR="009D137A" w:rsidRPr="0062201B">
        <w:rPr>
          <w:rFonts w:ascii="Times New Roman" w:eastAsia="Calibri" w:hAnsi="Times New Roman" w:cs="Times New Roman"/>
          <w:sz w:val="28"/>
          <w:szCs w:val="28"/>
        </w:rPr>
        <w:t>Долинської</w:t>
      </w:r>
      <w:proofErr w:type="spellEnd"/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на 20</w:t>
      </w:r>
      <w:r w:rsidR="009D137A" w:rsidRPr="0062201B">
        <w:rPr>
          <w:rFonts w:ascii="Times New Roman" w:eastAsia="Calibri" w:hAnsi="Times New Roman" w:cs="Times New Roman"/>
          <w:sz w:val="28"/>
          <w:szCs w:val="28"/>
        </w:rPr>
        <w:t>22</w:t>
      </w:r>
      <w:r w:rsidR="006A78A0" w:rsidRPr="0062201B">
        <w:rPr>
          <w:rFonts w:ascii="Times New Roman" w:eastAsia="Calibri" w:hAnsi="Times New Roman" w:cs="Times New Roman"/>
          <w:sz w:val="28"/>
          <w:szCs w:val="28"/>
        </w:rPr>
        <w:t xml:space="preserve">-2025 роки </w:t>
      </w:r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 (далі- Програма) спрямована на всебічну підтримку сільськогосподарських виробників з метою підвищення ефективності аграрного виробництва, подолання негативних явищ в окремих напрямках агропромислового комплексу громади та забезпечення стабільності її розвитку.</w:t>
      </w:r>
    </w:p>
    <w:p w14:paraId="3946B862" w14:textId="77777777" w:rsidR="00D657D2" w:rsidRPr="0062201B" w:rsidRDefault="00D657D2" w:rsidP="00B44B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 xml:space="preserve">Галузь сільського господарства представлена такими основними виробниками с/г продукції: </w:t>
      </w:r>
    </w:p>
    <w:p w14:paraId="691C541A" w14:textId="77777777" w:rsidR="00D657D2" w:rsidRPr="0062201B" w:rsidRDefault="006816B6" w:rsidP="00B44B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>ТзОВ «Долина-А</w:t>
      </w:r>
      <w:r w:rsidR="00D657D2" w:rsidRPr="0062201B">
        <w:rPr>
          <w:rFonts w:ascii="Times New Roman" w:hAnsi="Times New Roman" w:cs="Times New Roman"/>
          <w:bCs/>
          <w:sz w:val="28"/>
          <w:szCs w:val="28"/>
        </w:rPr>
        <w:t xml:space="preserve">гро», яке розпочало роботу в 2012 році і спеціалізується на вирощуванні посадкового матеріалу перспективної ягідної культури чорниці садової (лохини), ожини </w:t>
      </w:r>
      <w:proofErr w:type="spellStart"/>
      <w:r w:rsidR="00D657D2" w:rsidRPr="0062201B">
        <w:rPr>
          <w:rFonts w:ascii="Times New Roman" w:hAnsi="Times New Roman" w:cs="Times New Roman"/>
          <w:bCs/>
          <w:sz w:val="28"/>
          <w:szCs w:val="28"/>
        </w:rPr>
        <w:t>безколючкової</w:t>
      </w:r>
      <w:proofErr w:type="spellEnd"/>
      <w:r w:rsidR="00D657D2" w:rsidRPr="0062201B">
        <w:rPr>
          <w:rFonts w:ascii="Times New Roman" w:hAnsi="Times New Roman" w:cs="Times New Roman"/>
          <w:bCs/>
          <w:sz w:val="28"/>
          <w:szCs w:val="28"/>
        </w:rPr>
        <w:t xml:space="preserve"> та підщеп плодових дерев в лабораторних умовах. Особливістю виробництва є те, що посадковий матеріал розмножується тільки методом культури тканин (</w:t>
      </w:r>
      <w:proofErr w:type="spellStart"/>
      <w:r w:rsidR="00D657D2" w:rsidRPr="0062201B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="00D657D2" w:rsidRPr="006220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57D2" w:rsidRPr="0062201B">
        <w:rPr>
          <w:rFonts w:ascii="Times New Roman" w:hAnsi="Times New Roman" w:cs="Times New Roman"/>
          <w:bCs/>
          <w:sz w:val="28"/>
          <w:szCs w:val="28"/>
        </w:rPr>
        <w:t>vitro</w:t>
      </w:r>
      <w:proofErr w:type="spellEnd"/>
      <w:r w:rsidR="00D657D2" w:rsidRPr="0062201B">
        <w:rPr>
          <w:rFonts w:ascii="Times New Roman" w:hAnsi="Times New Roman" w:cs="Times New Roman"/>
          <w:bCs/>
          <w:sz w:val="28"/>
          <w:szCs w:val="28"/>
        </w:rPr>
        <w:t>), що дає можливість уникати «зараження» патогенними мікроорганізмами. Щорічно вирощується для реалізації біля 2,0 млн. штук. Посадковий матеріал товариство реалізовує на території України та країн Європи;</w:t>
      </w:r>
    </w:p>
    <w:p w14:paraId="7ED354BD" w14:textId="77777777" w:rsidR="00D657D2" w:rsidRPr="0062201B" w:rsidRDefault="00D657D2" w:rsidP="00B44B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 xml:space="preserve">ФГ «Еко-Карпати» має на території міської ради виробництво 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овечо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-козячих сирів</w:t>
      </w:r>
      <w:r w:rsidRPr="006220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2201B">
        <w:rPr>
          <w:rFonts w:ascii="Times New Roman" w:hAnsi="Times New Roman" w:cs="Times New Roman"/>
          <w:bCs/>
          <w:sz w:val="28"/>
          <w:szCs w:val="28"/>
        </w:rPr>
        <w:t>та молока.</w:t>
      </w:r>
      <w:r w:rsidRPr="006220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2201B">
        <w:rPr>
          <w:rFonts w:ascii="Times New Roman" w:hAnsi="Times New Roman" w:cs="Times New Roman"/>
          <w:bCs/>
          <w:sz w:val="28"/>
          <w:szCs w:val="28"/>
        </w:rPr>
        <w:t xml:space="preserve">На даний час фермерське господарство виробляє до 10 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тонн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 xml:space="preserve"> сирів в рік, а саме: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фета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фета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 xml:space="preserve"> в олії»,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будз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халумі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», «бринза»,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брі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», «бойківський», «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горган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». Треба відзначити, що «Еко-Карпати» постійно розширюють асортимент молочної продукції і їх виробництво відзначається стабільними тенденціями;</w:t>
      </w:r>
    </w:p>
    <w:p w14:paraId="0C66DB10" w14:textId="2A1C1E99" w:rsidR="00D657D2" w:rsidRPr="0062201B" w:rsidRDefault="00D657D2" w:rsidP="00B44B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 xml:space="preserve">На високому професійному і технологічному  рівні здійснюється посадка, вирощування і догляд за ягідниками лохини в фермерських господарствах «Жолоби», «Селище», «Беррі </w:t>
      </w:r>
      <w:proofErr w:type="spellStart"/>
      <w:r w:rsidRPr="0062201B">
        <w:rPr>
          <w:rFonts w:ascii="Times New Roman" w:hAnsi="Times New Roman" w:cs="Times New Roman"/>
          <w:bCs/>
          <w:sz w:val="28"/>
          <w:szCs w:val="28"/>
        </w:rPr>
        <w:t>Хілс</w:t>
      </w:r>
      <w:proofErr w:type="spellEnd"/>
      <w:r w:rsidRPr="0062201B">
        <w:rPr>
          <w:rFonts w:ascii="Times New Roman" w:hAnsi="Times New Roman" w:cs="Times New Roman"/>
          <w:bCs/>
          <w:sz w:val="28"/>
          <w:szCs w:val="28"/>
        </w:rPr>
        <w:t>»,</w:t>
      </w:r>
      <w:r w:rsidR="00B44B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01B">
        <w:rPr>
          <w:rFonts w:ascii="Times New Roman" w:hAnsi="Times New Roman" w:cs="Times New Roman"/>
          <w:bCs/>
          <w:sz w:val="28"/>
          <w:szCs w:val="28"/>
        </w:rPr>
        <w:t>що забезпечує високі врожаї поживної ягоди.</w:t>
      </w:r>
    </w:p>
    <w:p w14:paraId="60EEA6CA" w14:textId="77777777" w:rsidR="00D657D2" w:rsidRPr="0062201B" w:rsidRDefault="00D657D2" w:rsidP="00B44B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>ФГ «Нива» займається розведенням великої рогатої худоби молочних порід і реалізацією молочної продукції в межах територіальної громади.</w:t>
      </w:r>
    </w:p>
    <w:p w14:paraId="3E817324" w14:textId="77777777" w:rsidR="00D657D2" w:rsidRPr="0062201B" w:rsidRDefault="00D657D2" w:rsidP="00B44B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 xml:space="preserve">          Всього на території територіальної громади зареєстровано 24 фермерські господарства, які займаються здебільшого ягідництвом та веденням змішаного сільського господарства.</w:t>
      </w:r>
    </w:p>
    <w:p w14:paraId="072B0B2A" w14:textId="77777777" w:rsidR="00D657D2" w:rsidRPr="0062201B" w:rsidRDefault="006816B6" w:rsidP="00B44B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7D2" w:rsidRPr="0062201B">
        <w:rPr>
          <w:rFonts w:ascii="Times New Roman" w:hAnsi="Times New Roman" w:cs="Times New Roman"/>
          <w:sz w:val="28"/>
          <w:szCs w:val="28"/>
        </w:rPr>
        <w:t>Бджільництво в громаді здійснюється на близько 250 пасіках, де збирається цілющий карпатський мед. З 2011 року діє громадська організація «Братство карпатських бджолярів» яка налічує близько 50 пасічників.</w:t>
      </w:r>
      <w:r w:rsidR="00D657D2" w:rsidRPr="0062201B">
        <w:rPr>
          <w:rFonts w:ascii="Times New Roman" w:eastAsia="Calibri" w:hAnsi="Times New Roman" w:cs="Times New Roman"/>
          <w:sz w:val="28"/>
          <w:szCs w:val="28"/>
        </w:rPr>
        <w:t xml:space="preserve"> В домогосподарствах </w:t>
      </w:r>
      <w:proofErr w:type="spellStart"/>
      <w:r w:rsidR="00D657D2" w:rsidRPr="0062201B">
        <w:rPr>
          <w:rFonts w:ascii="Times New Roman" w:eastAsia="Calibri" w:hAnsi="Times New Roman" w:cs="Times New Roman"/>
          <w:sz w:val="28"/>
          <w:szCs w:val="28"/>
        </w:rPr>
        <w:t>Долинської</w:t>
      </w:r>
      <w:proofErr w:type="spellEnd"/>
      <w:r w:rsidR="00D657D2" w:rsidRPr="0062201B">
        <w:rPr>
          <w:rFonts w:ascii="Times New Roman" w:eastAsia="Calibri" w:hAnsi="Times New Roman" w:cs="Times New Roman"/>
          <w:sz w:val="28"/>
          <w:szCs w:val="28"/>
        </w:rPr>
        <w:t xml:space="preserve"> ТГ налічується понад 3600 бджолосімей. Бджолозапилення сприяє підвищенню врожайності сільськогосподарських культур на 30-60% і навіть більше, залежно від виду рослин та умов запилення. Крім того, підвищується якість плодів та насіння, збільшується їхня натуральна вага</w:t>
      </w:r>
      <w:r w:rsidR="00B67524" w:rsidRPr="0062201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5810FE" w14:textId="77777777" w:rsidR="00D657D2" w:rsidRPr="0062201B" w:rsidRDefault="00D657D2" w:rsidP="00B4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01B">
        <w:rPr>
          <w:rFonts w:ascii="Times New Roman" w:hAnsi="Times New Roman" w:cs="Times New Roman"/>
          <w:bCs/>
          <w:sz w:val="28"/>
          <w:szCs w:val="28"/>
        </w:rPr>
        <w:t xml:space="preserve">Загалом, при складних економічних обставинах в цілому по країні, галузь зберегла позитивну динаміку показників діяльності. </w:t>
      </w:r>
    </w:p>
    <w:p w14:paraId="6290A5BB" w14:textId="77777777" w:rsidR="00D657D2" w:rsidRPr="0062201B" w:rsidRDefault="00D657D2" w:rsidP="00B44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1B">
        <w:rPr>
          <w:rFonts w:ascii="Times New Roman" w:hAnsi="Times New Roman" w:cs="Times New Roman"/>
          <w:sz w:val="28"/>
          <w:szCs w:val="28"/>
        </w:rPr>
        <w:lastRenderedPageBreak/>
        <w:t>Завдяки проектам розвитку фермерських господарств у сільських територіях пожвавлюється економічна активність населення, створюються місцеві продуктові бренди.</w:t>
      </w:r>
    </w:p>
    <w:p w14:paraId="6232DF62" w14:textId="791C8E35" w:rsidR="00D657D2" w:rsidRPr="0062201B" w:rsidRDefault="001A6FC2" w:rsidP="00B44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1B">
        <w:rPr>
          <w:rFonts w:ascii="Times New Roman" w:hAnsi="Times New Roman" w:cs="Times New Roman"/>
          <w:sz w:val="28"/>
          <w:szCs w:val="28"/>
        </w:rPr>
        <w:t>Близько 15</w:t>
      </w:r>
      <w:r w:rsidR="00D657D2" w:rsidRPr="0062201B">
        <w:rPr>
          <w:rFonts w:ascii="Times New Roman" w:hAnsi="Times New Roman" w:cs="Times New Roman"/>
          <w:sz w:val="28"/>
          <w:szCs w:val="28"/>
        </w:rPr>
        <w:t>00 га орних сільськогосподарських земель  мешканцями сіл територіальної громади передано в оренду двом приватним сільськогосподарським орендним підприємствам, зареєстрованим за межами ТГ. Ці земельні ділянки можуть ефективніше використовуватись фермерськими господарствами для дрібнотоварного виробництва екологічно чистої с/г продукції, що користується попитом на внутрішньому та зовнішньому ринках. Зокрема, в громаді потужного розвитку набуло вирощування ягід лохини та саджанців,</w:t>
      </w:r>
      <w:r w:rsidR="00B44BEF">
        <w:rPr>
          <w:rFonts w:ascii="Times New Roman" w:hAnsi="Times New Roman" w:cs="Times New Roman"/>
          <w:sz w:val="28"/>
          <w:szCs w:val="28"/>
        </w:rPr>
        <w:t xml:space="preserve"> </w:t>
      </w:r>
      <w:r w:rsidR="00D657D2" w:rsidRPr="0062201B">
        <w:rPr>
          <w:rFonts w:ascii="Times New Roman" w:hAnsi="Times New Roman" w:cs="Times New Roman"/>
          <w:sz w:val="28"/>
          <w:szCs w:val="28"/>
        </w:rPr>
        <w:t xml:space="preserve">які здебільшого експортуються. Великий потенціал на території громади має вирощування </w:t>
      </w:r>
      <w:proofErr w:type="spellStart"/>
      <w:r w:rsidR="00D657D2" w:rsidRPr="0062201B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="00D657D2" w:rsidRPr="0062201B">
        <w:rPr>
          <w:rFonts w:ascii="Times New Roman" w:hAnsi="Times New Roman" w:cs="Times New Roman"/>
          <w:sz w:val="28"/>
          <w:szCs w:val="28"/>
        </w:rPr>
        <w:t xml:space="preserve"> і кіз,</w:t>
      </w:r>
      <w:r w:rsidR="00B44BEF">
        <w:rPr>
          <w:rFonts w:ascii="Times New Roman" w:hAnsi="Times New Roman" w:cs="Times New Roman"/>
          <w:sz w:val="28"/>
          <w:szCs w:val="28"/>
        </w:rPr>
        <w:t xml:space="preserve"> </w:t>
      </w:r>
      <w:r w:rsidR="00D657D2" w:rsidRPr="0062201B">
        <w:rPr>
          <w:rFonts w:ascii="Times New Roman" w:hAnsi="Times New Roman" w:cs="Times New Roman"/>
          <w:sz w:val="28"/>
          <w:szCs w:val="28"/>
        </w:rPr>
        <w:t>оскільки, більшість населених пунктів мають статус гірських.</w:t>
      </w:r>
    </w:p>
    <w:p w14:paraId="54B09462" w14:textId="77777777" w:rsidR="008926EF" w:rsidRPr="0062201B" w:rsidRDefault="00D657D2" w:rsidP="00B4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hAnsi="Times New Roman" w:cs="Times New Roman"/>
          <w:sz w:val="28"/>
          <w:szCs w:val="28"/>
        </w:rPr>
        <w:tab/>
      </w:r>
      <w:r w:rsidR="008926EF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Фермерські господарства громади ведуть переважно дрібнотоварне сільськогосподарське виробництво</w:t>
      </w:r>
      <w:r w:rsidR="008926EF" w:rsidRPr="0062201B">
        <w:rPr>
          <w:rFonts w:ascii="Times New Roman" w:eastAsia="Calibri" w:hAnsi="Times New Roman" w:cs="Times New Roman"/>
          <w:sz w:val="28"/>
          <w:szCs w:val="28"/>
        </w:rPr>
        <w:t>. В</w:t>
      </w:r>
      <w:r w:rsidR="008926EF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иробничу спрямованість фермери визначають, враховуючи наявність власних матеріально-технічних та фінансових можливостей.</w:t>
      </w:r>
      <w:r w:rsidR="008926EF" w:rsidRPr="0062201B">
        <w:rPr>
          <w:rFonts w:ascii="Times New Roman" w:eastAsia="Calibri" w:hAnsi="Times New Roman" w:cs="Times New Roman"/>
          <w:sz w:val="28"/>
          <w:szCs w:val="28"/>
        </w:rPr>
        <w:t xml:space="preserve"> Проте</w:t>
      </w:r>
      <w:r w:rsidR="008926EF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виробничий та соціальний потенціал фермерських господарств залишається реалізованим далеко не в повній мірі. </w:t>
      </w:r>
    </w:p>
    <w:p w14:paraId="15394F04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Рівень технічного оснащення, показники ефективності виробництва фермерських господарств здебільшого є значно нижчими порівняно із середніми та великими підприємствами. Основна причина такого становища – брак власних обігових коштів та висока вартість кредитних ресурсів. Як наслідок, фермерські господарства мають значно скромнішу матеріально-технічну базу, а їх доступ до передових технологій, селекції, використання сучасних засобів захисту рослин і добрив суттєво обмежений. </w:t>
      </w:r>
    </w:p>
    <w:p w14:paraId="52991702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той же час за останні роки спостерігається ріст кількості фермерських господарств. Так, протягом минулого року було відкрито </w:t>
      </w:r>
      <w:r w:rsidR="00666AB2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фермерські господарства та в квітні цього року ще одне фермерське господарство. </w:t>
      </w:r>
    </w:p>
    <w:p w14:paraId="5614774D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2018 році, вперше в історії України, фермерські господарства були включені в державну програму підтримки сільськогосподарських товаровиробників. Такою підтримкою скористались </w:t>
      </w:r>
      <w:r w:rsidR="00666AB2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кілька фермерських господарств</w:t>
      </w: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6AB2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 громади</w:t>
      </w: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319B10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сприяння розвитку фермерства необхідне виділення земельних ділянок із земель комунальної власності </w:t>
      </w:r>
      <w:proofErr w:type="spellStart"/>
      <w:r w:rsidR="00666AB2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Долинської</w:t>
      </w:r>
      <w:proofErr w:type="spellEnd"/>
      <w:r w:rsidR="00666AB2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територіальної громади та створення резервного банку землі для новостворених господарств.</w:t>
      </w:r>
    </w:p>
    <w:p w14:paraId="0C16A9B4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За умови отримання відповідних матеріальних та організаційних ресурсів малі та середні господарства здатні значно підвищити свою ефективність та зробити більш вагомий внесок і в економіку громади в цілому, і в обсяги валового виробництва сільськогосподарської продукції зокрема. За сприятливих прибуткових умов господарювання збільшиться чисельність фермерських господарств у громаді. У свою чергу, розвиток фермерства сприятиме розвитку сільських територій завдяки створенню нових робочих місць і зміцненню виробничої та соціальної інфраструктури на селі.</w:t>
      </w:r>
    </w:p>
    <w:p w14:paraId="5C791FA7" w14:textId="77777777" w:rsidR="008926EF" w:rsidRPr="0062201B" w:rsidRDefault="008926EF" w:rsidP="00B44BEF">
      <w:pPr>
        <w:tabs>
          <w:tab w:val="center" w:pos="4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Домогосподарства є основними виробниками найбільш трудомістких культур: картоплі, овочів, плодів і ягід та тваринницької продукції. </w:t>
      </w:r>
    </w:p>
    <w:p w14:paraId="2DC02B87" w14:textId="555D53AA" w:rsidR="008926EF" w:rsidRPr="0062201B" w:rsidRDefault="008926EF" w:rsidP="00B4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Протягом останніх років відбувається значне скорочення поголів’я сільськогосподарських тварин, особливо корів. Зменшується виробництво молока та м’яса. Молоко, яке закуповується у господарствах населення підприємствами для промислової переробки, низької якості,  не відповідає вимогам європейських стандартів. Згідно з угодою про асоціацію з Європейським Союзом, переробні підприємства молока повинні відмовитись від </w:t>
      </w:r>
      <w:proofErr w:type="spellStart"/>
      <w:r w:rsidRPr="0062201B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 молочної сировини від населення. Запровадження цього нововведення передбачає перехідний період до 2022 року. За цей час особисті </w:t>
      </w:r>
      <w:r w:rsidR="00AA5567">
        <w:rPr>
          <w:rFonts w:ascii="Times New Roman" w:eastAsia="Calibri" w:hAnsi="Times New Roman" w:cs="Times New Roman"/>
          <w:sz w:val="28"/>
          <w:szCs w:val="28"/>
        </w:rPr>
        <w:t xml:space="preserve">селянські </w:t>
      </w:r>
      <w:r w:rsidRPr="0062201B">
        <w:rPr>
          <w:rFonts w:ascii="Times New Roman" w:eastAsia="Calibri" w:hAnsi="Times New Roman" w:cs="Times New Roman"/>
          <w:sz w:val="28"/>
          <w:szCs w:val="28"/>
        </w:rPr>
        <w:t>господарства мають підвищити культуру виробництва.</w:t>
      </w:r>
    </w:p>
    <w:p w14:paraId="40529610" w14:textId="77777777" w:rsidR="008926EF" w:rsidRPr="0062201B" w:rsidRDefault="008926EF" w:rsidP="00B4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>Підвищення якості молока можливе за рахунок використання доїльних установок, обладнання для охолодження молока та дотримання санітарно-гігієнічних вимог під час доїння. Фінансування цих заходів сприятиме зменшенню рівня забрудненості молока та відповідно покращення його якісних показників. Як результат – підвищення закупівельної ціни молока та добробуту сільських жителів.</w:t>
      </w:r>
    </w:p>
    <w:p w14:paraId="3B53AA3F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uk-UA"/>
        </w:rPr>
        <w:t>Важливу роль у розвитку особистих селянських та фермерських господарств, відродженні сільських територій мають відігравати сільськогосподарські обслуговуючі кооперативи.</w:t>
      </w:r>
    </w:p>
    <w:p w14:paraId="13B702D7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uk-UA"/>
        </w:rPr>
        <w:t>Створення обслуговуючих кооперативів дасть змогу захистити інтереси дрібних сільськогосподарських товаровиробників шляхом вирішення питань переробки і збуту сільськогосподарської продукції, постачання мінеральних добрив, насіння, сільгосптехніки, технічного обслуговування тощо.</w:t>
      </w:r>
    </w:p>
    <w:p w14:paraId="6EF49E50" w14:textId="77777777" w:rsidR="008926EF" w:rsidRPr="0062201B" w:rsidRDefault="008926EF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На даний час  формування мережі сільськогосподарських обслуговуючих кооперативів стримується через відсутність необхідної матеріальної бази, лідерів кооперативного руху, недостатню обізнаність селян у перевагах об’єднання зусиль на умовах кооперації для подальшого розвитку, недосконалістю законодавства, відсутністю стимулюючих чинників зі сторони держави.</w:t>
      </w:r>
    </w:p>
    <w:p w14:paraId="3CA6708B" w14:textId="77777777" w:rsidR="00696298" w:rsidRPr="0062201B" w:rsidRDefault="00696298" w:rsidP="00B4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385BB6" w14:textId="77777777" w:rsidR="008926EF" w:rsidRPr="0062201B" w:rsidRDefault="0016686B" w:rsidP="00AE11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</w:rPr>
        <w:t>. Визначення мети Програми</w:t>
      </w:r>
    </w:p>
    <w:p w14:paraId="05233F72" w14:textId="77777777" w:rsidR="008926EF" w:rsidRPr="0062201B" w:rsidRDefault="008926EF" w:rsidP="00B44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Програма розвитку агропромислового комплексу </w:t>
      </w:r>
      <w:proofErr w:type="spellStart"/>
      <w:r w:rsidRPr="0062201B">
        <w:rPr>
          <w:rFonts w:ascii="Times New Roman" w:eastAsia="Calibri" w:hAnsi="Times New Roman" w:cs="Times New Roman"/>
          <w:sz w:val="28"/>
          <w:szCs w:val="28"/>
        </w:rPr>
        <w:t>Долинської</w:t>
      </w:r>
      <w:proofErr w:type="spellEnd"/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на 20</w:t>
      </w:r>
      <w:r w:rsidR="005A15A4" w:rsidRPr="0062201B">
        <w:rPr>
          <w:rFonts w:ascii="Times New Roman" w:eastAsia="Calibri" w:hAnsi="Times New Roman" w:cs="Times New Roman"/>
          <w:sz w:val="28"/>
          <w:szCs w:val="28"/>
        </w:rPr>
        <w:t>22</w:t>
      </w:r>
      <w:r w:rsidRPr="0062201B">
        <w:rPr>
          <w:rFonts w:ascii="Times New Roman" w:eastAsia="Calibri" w:hAnsi="Times New Roman" w:cs="Times New Roman"/>
          <w:sz w:val="28"/>
          <w:szCs w:val="28"/>
        </w:rPr>
        <w:t>-2025 роки спрямована на забезпечення розвитку високоефективного сільськогосподарського виробництва, підвищення конкурентоспроможності продукції сільськогосподарського виробництва на внутрішньому і зовнішньому ринках та рівня зайнятості сільського населення,  розв’язання проблем соціальної  інфраструктури на селі.</w:t>
      </w:r>
    </w:p>
    <w:p w14:paraId="3445A23A" w14:textId="77777777" w:rsidR="008926EF" w:rsidRPr="0062201B" w:rsidRDefault="008926EF" w:rsidP="00B44B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>Основною метою розроблення Програми  є створення організаційно-економічних умов для ефективного соціально спрямованого розвитку аграрного сектору, надання допомоги в створенні належних  умов для ф</w:t>
      </w:r>
      <w:r w:rsidRPr="006220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ормування сучасного, відповідно до світових стандартів, конкурентоспроможного агропромислового комплексу, </w:t>
      </w:r>
      <w:r w:rsidRPr="0062201B">
        <w:rPr>
          <w:rFonts w:ascii="Times New Roman" w:eastAsia="Calibri" w:hAnsi="Times New Roman" w:cs="Times New Roman"/>
          <w:sz w:val="28"/>
          <w:szCs w:val="28"/>
        </w:rPr>
        <w:t>стабільного забезпечення населення якісною, безпечною, доступною за цінами вітчизняною сільськогосподарською продукцією та сировиною.</w:t>
      </w:r>
    </w:p>
    <w:p w14:paraId="6E6D4C2E" w14:textId="548BCD41" w:rsidR="00816354" w:rsidRDefault="008926EF" w:rsidP="00B44B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Реалізація завдань і заходів Програми дасть можливість паралельно з децентралізацією започаткувати процеси відродження сіл громади,  сприятиме розвитку підприємництва та ринкової інфраструктури в сільській місцевості, </w:t>
      </w:r>
      <w:r w:rsidRPr="0062201B">
        <w:rPr>
          <w:rFonts w:ascii="Times New Roman" w:eastAsia="Calibri" w:hAnsi="Times New Roman" w:cs="Times New Roman"/>
          <w:sz w:val="28"/>
          <w:szCs w:val="28"/>
        </w:rPr>
        <w:lastRenderedPageBreak/>
        <w:t>підвищенню ефективності сільськогосподарського виробництва, зайнятості та добробуту  сільського населення.</w:t>
      </w:r>
    </w:p>
    <w:p w14:paraId="124E274F" w14:textId="77777777" w:rsidR="00B24A9E" w:rsidRPr="0062201B" w:rsidRDefault="00B24A9E" w:rsidP="00B44B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107AFE" w14:textId="5B46BC5E" w:rsidR="008926EF" w:rsidRPr="0062201B" w:rsidRDefault="0016686B" w:rsidP="00AA556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</w:rPr>
        <w:t>.  Шляхи і засоби розв’язання проблеми, обсяг та джерела фінансування, строки та етапи виконання Програми</w:t>
      </w:r>
    </w:p>
    <w:p w14:paraId="7D4B4CE5" w14:textId="79A48C39" w:rsidR="00696298" w:rsidRPr="0062201B" w:rsidRDefault="008926EF" w:rsidP="00B44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 Програми в необхідних обсягах передбачається здійснювати виходячи з наявних фінансових ресурсів, зокрема за рахунок коштів бюджету</w:t>
      </w:r>
      <w:r w:rsidR="00AA5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567">
        <w:rPr>
          <w:rFonts w:ascii="Times New Roman" w:eastAsia="Calibri" w:hAnsi="Times New Roman" w:cs="Times New Roman"/>
          <w:sz w:val="28"/>
          <w:szCs w:val="28"/>
          <w:lang w:eastAsia="ru-RU"/>
        </w:rPr>
        <w:t>Долинської</w:t>
      </w:r>
      <w:proofErr w:type="spellEnd"/>
      <w:r w:rsidR="00AA5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ТГ</w:t>
      </w: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>, інших джерел фінансування не заборонених законодавством.</w:t>
      </w:r>
    </w:p>
    <w:p w14:paraId="4CD1D950" w14:textId="77777777" w:rsidR="00FA78A1" w:rsidRPr="0062201B" w:rsidRDefault="00FA78A1" w:rsidP="00B44B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8AB019" w14:textId="43B5449B" w:rsidR="008926EF" w:rsidRPr="0062201B" w:rsidRDefault="0016686B" w:rsidP="00AA556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</w:rPr>
        <w:t xml:space="preserve">. Перелік завдань (напрямів) і заходів Програми </w:t>
      </w:r>
    </w:p>
    <w:p w14:paraId="48928759" w14:textId="1E4CE3A7" w:rsidR="008926EF" w:rsidRDefault="008926EF" w:rsidP="00B44B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1B">
        <w:rPr>
          <w:rFonts w:ascii="Times New Roman" w:eastAsia="Calibri" w:hAnsi="Times New Roman" w:cs="Times New Roman"/>
          <w:sz w:val="28"/>
          <w:szCs w:val="28"/>
        </w:rPr>
        <w:t xml:space="preserve">Перелік завдань (напрямів) і заходів приведені у </w:t>
      </w:r>
      <w:r w:rsidR="00AA5567">
        <w:rPr>
          <w:rFonts w:ascii="Times New Roman" w:eastAsia="Calibri" w:hAnsi="Times New Roman" w:cs="Times New Roman"/>
          <w:sz w:val="28"/>
          <w:szCs w:val="28"/>
        </w:rPr>
        <w:t>розділі 6 даної Програми</w:t>
      </w:r>
      <w:r w:rsidRPr="0062201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3F4DA6" w14:textId="77777777" w:rsidR="00A44A8D" w:rsidRPr="0062201B" w:rsidRDefault="00A44A8D" w:rsidP="00B44B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F3A1F" w14:textId="77777777" w:rsidR="008926EF" w:rsidRPr="0062201B" w:rsidRDefault="0016686B" w:rsidP="00B44BEF">
      <w:pPr>
        <w:tabs>
          <w:tab w:val="num" w:pos="1134"/>
          <w:tab w:val="num" w:pos="16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8926EF" w:rsidRPr="00622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Координація та контроль за ходом виконання Програми</w:t>
      </w:r>
    </w:p>
    <w:p w14:paraId="38459A78" w14:textId="77777777" w:rsidR="008926EF" w:rsidRPr="0062201B" w:rsidRDefault="008926EF" w:rsidP="00B44BEF">
      <w:pPr>
        <w:pStyle w:val="4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uk-UA"/>
        </w:rPr>
      </w:pPr>
      <w:r w:rsidRPr="0062201B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ru-RU"/>
        </w:rPr>
        <w:t>Координацію та планування робіт на основі визначених Програмою заходів здійснює постійна комісія</w:t>
      </w:r>
      <w:r w:rsidR="00BA63B7" w:rsidRPr="0062201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uk-UA"/>
        </w:rPr>
        <w:t xml:space="preserve"> з питань промисловості, соціально-економічного розвитку та екології</w:t>
      </w:r>
      <w:r w:rsidR="00BA63B7"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A63B7" w:rsidRPr="0062201B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ru-RU"/>
        </w:rPr>
        <w:t>міської ради.</w:t>
      </w:r>
    </w:p>
    <w:p w14:paraId="6143B3F3" w14:textId="77777777" w:rsidR="008926EF" w:rsidRPr="0062201B" w:rsidRDefault="008926EF" w:rsidP="00B44BEF">
      <w:pPr>
        <w:tabs>
          <w:tab w:val="num" w:pos="1134"/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926EF" w:rsidRPr="0062201B" w:rsidSect="0062201B">
          <w:headerReference w:type="default" r:id="rId9"/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  <w:r w:rsidRPr="0062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FEFED41" w14:textId="2B79054C" w:rsidR="008926EF" w:rsidRPr="00E3446B" w:rsidRDefault="00AA5567" w:rsidP="00306215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r w:rsidR="008926EF" w:rsidRPr="00E3446B">
        <w:rPr>
          <w:rFonts w:ascii="Times New Roman" w:eastAsia="Calibri" w:hAnsi="Times New Roman" w:cs="Times New Roman"/>
          <w:b/>
          <w:sz w:val="28"/>
          <w:szCs w:val="28"/>
        </w:rPr>
        <w:t>Напрями діяльності та заходи</w:t>
      </w:r>
    </w:p>
    <w:p w14:paraId="526D90FB" w14:textId="18BC0D0B" w:rsidR="008926EF" w:rsidRDefault="008926EF" w:rsidP="00306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46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Програми розвитку агропромислового комплексу </w:t>
      </w:r>
      <w:proofErr w:type="spellStart"/>
      <w:r w:rsidR="001A6FC2" w:rsidRPr="00E3446B">
        <w:rPr>
          <w:rFonts w:ascii="Times New Roman" w:eastAsia="Calibri" w:hAnsi="Times New Roman" w:cs="Times New Roman"/>
          <w:b/>
          <w:sz w:val="28"/>
          <w:szCs w:val="28"/>
        </w:rPr>
        <w:t>Долинської</w:t>
      </w:r>
      <w:proofErr w:type="spellEnd"/>
      <w:r w:rsidRPr="00E3446B">
        <w:rPr>
          <w:rFonts w:ascii="Times New Roman" w:eastAsia="Calibri" w:hAnsi="Times New Roman" w:cs="Times New Roman"/>
          <w:b/>
          <w:sz w:val="28"/>
          <w:szCs w:val="28"/>
        </w:rPr>
        <w:t xml:space="preserve"> територіальної громади на 20</w:t>
      </w:r>
      <w:r w:rsidR="005A15A4" w:rsidRPr="00E3446B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E3446B">
        <w:rPr>
          <w:rFonts w:ascii="Times New Roman" w:eastAsia="Calibri" w:hAnsi="Times New Roman" w:cs="Times New Roman"/>
          <w:b/>
          <w:sz w:val="28"/>
          <w:szCs w:val="28"/>
        </w:rPr>
        <w:t>-2025 роки</w:t>
      </w:r>
    </w:p>
    <w:p w14:paraId="014D28BB" w14:textId="77777777" w:rsidR="00AA5567" w:rsidRPr="00E3446B" w:rsidRDefault="00AA5567" w:rsidP="00306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2787"/>
        <w:gridCol w:w="899"/>
        <w:gridCol w:w="1841"/>
        <w:gridCol w:w="1276"/>
        <w:gridCol w:w="750"/>
        <w:gridCol w:w="709"/>
        <w:gridCol w:w="709"/>
        <w:gridCol w:w="754"/>
        <w:gridCol w:w="3456"/>
      </w:tblGrid>
      <w:tr w:rsidR="007009F4" w:rsidRPr="00E3446B" w14:paraId="7CA1077D" w14:textId="77777777" w:rsidTr="00AA5567">
        <w:trPr>
          <w:trHeight w:val="562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505FDA21" w14:textId="77777777" w:rsidR="007009F4" w:rsidRPr="00AA5567" w:rsidRDefault="007009F4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84001E1" w14:textId="254F369E" w:rsidR="007009F4" w:rsidRPr="00AA5567" w:rsidRDefault="00AA5567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="007009F4"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A94B8B5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напряму діяльності</w:t>
            </w:r>
          </w:p>
          <w:p w14:paraId="567EB26C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(пріоритетні</w:t>
            </w:r>
          </w:p>
          <w:p w14:paraId="558FBBB0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завдання)</w:t>
            </w:r>
          </w:p>
        </w:tc>
        <w:tc>
          <w:tcPr>
            <w:tcW w:w="2787" w:type="dxa"/>
            <w:vMerge w:val="restart"/>
            <w:tcBorders>
              <w:bottom w:val="single" w:sz="4" w:space="0" w:color="auto"/>
            </w:tcBorders>
          </w:tcPr>
          <w:p w14:paraId="062042B5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EABBF38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D39A4A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Перелік заходів </w:t>
            </w:r>
          </w:p>
          <w:p w14:paraId="79D2E5A4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програми</w:t>
            </w:r>
          </w:p>
        </w:tc>
        <w:tc>
          <w:tcPr>
            <w:tcW w:w="899" w:type="dxa"/>
            <w:vMerge w:val="restart"/>
            <w:tcBorders>
              <w:bottom w:val="single" w:sz="4" w:space="0" w:color="auto"/>
            </w:tcBorders>
            <w:textDirection w:val="btLr"/>
          </w:tcPr>
          <w:p w14:paraId="2AC0BFD6" w14:textId="77777777" w:rsidR="007009F4" w:rsidRPr="00AA5567" w:rsidRDefault="007009F4" w:rsidP="008926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  <w:p w14:paraId="3F8C46F0" w14:textId="77777777" w:rsidR="007009F4" w:rsidRPr="00AA5567" w:rsidRDefault="007009F4" w:rsidP="008926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14:paraId="038A48FF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1F1003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B637D5" w14:textId="77777777" w:rsidR="007009F4" w:rsidRPr="00AA5567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14:paraId="668899DA" w14:textId="77777777" w:rsidR="007009F4" w:rsidRPr="00AA5567" w:rsidRDefault="007009F4" w:rsidP="008926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Джерела </w:t>
            </w:r>
            <w:proofErr w:type="spellStart"/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2922" w:type="dxa"/>
            <w:gridSpan w:val="4"/>
            <w:tcBorders>
              <w:bottom w:val="single" w:sz="4" w:space="0" w:color="auto"/>
            </w:tcBorders>
          </w:tcPr>
          <w:p w14:paraId="2183383C" w14:textId="77777777" w:rsidR="007009F4" w:rsidRPr="00AA5567" w:rsidRDefault="007009F4" w:rsidP="00700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  <w:p w14:paraId="421108D3" w14:textId="74149A80" w:rsidR="007009F4" w:rsidRPr="00AA5567" w:rsidRDefault="007009F4" w:rsidP="00700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тис. грн</w:t>
            </w:r>
          </w:p>
        </w:tc>
        <w:tc>
          <w:tcPr>
            <w:tcW w:w="3456" w:type="dxa"/>
            <w:vMerge w:val="restart"/>
            <w:tcBorders>
              <w:bottom w:val="single" w:sz="4" w:space="0" w:color="auto"/>
            </w:tcBorders>
            <w:vAlign w:val="center"/>
          </w:tcPr>
          <w:p w14:paraId="228C54E1" w14:textId="77777777" w:rsidR="007009F4" w:rsidRPr="00AA5567" w:rsidRDefault="007009F4" w:rsidP="00700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Очікуваний результат</w:t>
            </w:r>
          </w:p>
        </w:tc>
      </w:tr>
      <w:tr w:rsidR="007009F4" w:rsidRPr="00E3446B" w14:paraId="20483A49" w14:textId="77777777" w:rsidTr="00AA5567">
        <w:trPr>
          <w:trHeight w:val="352"/>
          <w:jc w:val="center"/>
        </w:trPr>
        <w:tc>
          <w:tcPr>
            <w:tcW w:w="709" w:type="dxa"/>
            <w:vMerge/>
          </w:tcPr>
          <w:p w14:paraId="48A938C0" w14:textId="77777777" w:rsidR="007009F4" w:rsidRPr="00E3446B" w:rsidRDefault="007009F4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F2FEC9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14:paraId="6B25211C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0A7422F1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246D1D18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01D546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65F90B5" w14:textId="77777777" w:rsidR="007009F4" w:rsidRPr="00AA5567" w:rsidRDefault="007009F4" w:rsidP="00EB624A">
            <w:pPr>
              <w:spacing w:after="0" w:line="240" w:lineRule="auto"/>
              <w:ind w:left="-105" w:right="-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14:paraId="3B3F4506" w14:textId="77777777" w:rsidR="007009F4" w:rsidRPr="00AA5567" w:rsidRDefault="007009F4" w:rsidP="00EB624A">
            <w:pPr>
              <w:spacing w:after="0" w:line="240" w:lineRule="auto"/>
              <w:ind w:left="-105" w:right="-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0547C5C9" w14:textId="77777777" w:rsidR="007009F4" w:rsidRPr="00AA5567" w:rsidRDefault="007009F4" w:rsidP="00EB624A">
            <w:pPr>
              <w:spacing w:after="0" w:line="240" w:lineRule="auto"/>
              <w:ind w:left="-105" w:right="-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14:paraId="2D7B51E3" w14:textId="77777777" w:rsidR="007009F4" w:rsidRPr="00AA5567" w:rsidRDefault="007009F4" w:rsidP="00EB624A">
            <w:pPr>
              <w:spacing w:after="0" w:line="240" w:lineRule="auto"/>
              <w:ind w:left="-105" w:right="-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456" w:type="dxa"/>
            <w:vMerge/>
          </w:tcPr>
          <w:p w14:paraId="6F014F33" w14:textId="77777777" w:rsidR="007009F4" w:rsidRPr="00E3446B" w:rsidRDefault="007009F4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4209" w:rsidRPr="00E3446B" w14:paraId="761148D2" w14:textId="77777777" w:rsidTr="00AA5567">
        <w:trPr>
          <w:trHeight w:val="1265"/>
          <w:jc w:val="center"/>
        </w:trPr>
        <w:tc>
          <w:tcPr>
            <w:tcW w:w="709" w:type="dxa"/>
            <w:vAlign w:val="center"/>
          </w:tcPr>
          <w:p w14:paraId="2A68247B" w14:textId="77777777" w:rsidR="00484209" w:rsidRPr="00E3446B" w:rsidRDefault="007009F4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84C5C38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Молочне скотарство</w:t>
            </w:r>
          </w:p>
        </w:tc>
        <w:tc>
          <w:tcPr>
            <w:tcW w:w="2787" w:type="dxa"/>
            <w:vAlign w:val="center"/>
          </w:tcPr>
          <w:p w14:paraId="247AD2DF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Відшкодування вартості закуплених установок індивідуального доїння </w:t>
            </w:r>
          </w:p>
        </w:tc>
        <w:tc>
          <w:tcPr>
            <w:tcW w:w="899" w:type="dxa"/>
            <w:vAlign w:val="center"/>
          </w:tcPr>
          <w:p w14:paraId="16F878AD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</w:p>
          <w:p w14:paraId="553A3926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35AF3867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1E1399D7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міська рада, управління економіки</w:t>
            </w:r>
          </w:p>
        </w:tc>
        <w:tc>
          <w:tcPr>
            <w:tcW w:w="1276" w:type="dxa"/>
            <w:vAlign w:val="center"/>
          </w:tcPr>
          <w:p w14:paraId="71019F73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50" w:type="dxa"/>
            <w:vAlign w:val="center"/>
          </w:tcPr>
          <w:p w14:paraId="664EF084" w14:textId="77777777" w:rsidR="00484209" w:rsidRPr="00E3446B" w:rsidRDefault="00484209" w:rsidP="0048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7D6DEDF6" w14:textId="77777777" w:rsidR="00484209" w:rsidRPr="00E3446B" w:rsidRDefault="00484209" w:rsidP="0048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7D4EF9CA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vAlign w:val="center"/>
          </w:tcPr>
          <w:p w14:paraId="59D1AB4C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6" w:type="dxa"/>
          </w:tcPr>
          <w:p w14:paraId="5BA5789F" w14:textId="77777777" w:rsidR="00484209" w:rsidRPr="00E3446B" w:rsidRDefault="00484209" w:rsidP="00892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Механізація процесу доїння корів, зменшення витрат ручної праці, збільшення обсягів виробництва та якості молока</w:t>
            </w:r>
          </w:p>
        </w:tc>
      </w:tr>
      <w:tr w:rsidR="00484209" w:rsidRPr="00E3446B" w14:paraId="370BF896" w14:textId="77777777" w:rsidTr="00AA5567">
        <w:trPr>
          <w:trHeight w:val="986"/>
          <w:jc w:val="center"/>
        </w:trPr>
        <w:tc>
          <w:tcPr>
            <w:tcW w:w="709" w:type="dxa"/>
            <w:vAlign w:val="center"/>
          </w:tcPr>
          <w:p w14:paraId="1023910F" w14:textId="77777777" w:rsidR="00484209" w:rsidRPr="00E3446B" w:rsidRDefault="007009F4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F80AE29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Молочне скотарство</w:t>
            </w:r>
          </w:p>
        </w:tc>
        <w:tc>
          <w:tcPr>
            <w:tcW w:w="2787" w:type="dxa"/>
            <w:vAlign w:val="center"/>
          </w:tcPr>
          <w:p w14:paraId="46A64033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Дотація фізичним особам за утримання корів </w:t>
            </w:r>
          </w:p>
        </w:tc>
        <w:tc>
          <w:tcPr>
            <w:tcW w:w="899" w:type="dxa"/>
            <w:vAlign w:val="center"/>
          </w:tcPr>
          <w:p w14:paraId="72F9AE2E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</w:p>
          <w:p w14:paraId="6F9C09C1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502F1272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8E37775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міська рада, управління економіки</w:t>
            </w:r>
          </w:p>
        </w:tc>
        <w:tc>
          <w:tcPr>
            <w:tcW w:w="1276" w:type="dxa"/>
            <w:vAlign w:val="center"/>
          </w:tcPr>
          <w:p w14:paraId="096A8765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50" w:type="dxa"/>
            <w:vAlign w:val="center"/>
          </w:tcPr>
          <w:p w14:paraId="56D8D088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14:paraId="56C4DD01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14:paraId="595F42E8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4" w:type="dxa"/>
            <w:vAlign w:val="center"/>
          </w:tcPr>
          <w:p w14:paraId="3696AC6D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56" w:type="dxa"/>
          </w:tcPr>
          <w:p w14:paraId="4D61ABE3" w14:textId="77777777" w:rsidR="00484209" w:rsidRPr="00E3446B" w:rsidRDefault="00484209" w:rsidP="00892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Стабілізація поголів’я великої рогатої худоби, збільшення виробництва молока та м’яса.</w:t>
            </w:r>
          </w:p>
        </w:tc>
      </w:tr>
      <w:tr w:rsidR="00484209" w:rsidRPr="00E3446B" w14:paraId="4134E431" w14:textId="77777777" w:rsidTr="00AA5567">
        <w:trPr>
          <w:trHeight w:val="416"/>
          <w:jc w:val="center"/>
        </w:trPr>
        <w:tc>
          <w:tcPr>
            <w:tcW w:w="709" w:type="dxa"/>
            <w:vAlign w:val="center"/>
          </w:tcPr>
          <w:p w14:paraId="614C5327" w14:textId="77777777" w:rsidR="00484209" w:rsidRPr="00E3446B" w:rsidRDefault="007009F4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81EF601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Рибне господарство</w:t>
            </w:r>
          </w:p>
        </w:tc>
        <w:tc>
          <w:tcPr>
            <w:tcW w:w="2787" w:type="dxa"/>
            <w:vAlign w:val="center"/>
          </w:tcPr>
          <w:p w14:paraId="66D06159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Ф</w:t>
            </w:r>
            <w:r w:rsidR="00484209" w:rsidRPr="00E344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інансова підтримка на придбання зарибку рослиноїдних риб, коропа та маточного поголів’я (для юридичних осіб)</w:t>
            </w:r>
          </w:p>
        </w:tc>
        <w:tc>
          <w:tcPr>
            <w:tcW w:w="899" w:type="dxa"/>
            <w:vAlign w:val="center"/>
          </w:tcPr>
          <w:p w14:paraId="63337D21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</w:p>
          <w:p w14:paraId="4954471C" w14:textId="77777777" w:rsidR="00484209" w:rsidRPr="00E3446B" w:rsidRDefault="00484209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4138DB22" w14:textId="77777777" w:rsidR="00484209" w:rsidRPr="00E3446B" w:rsidRDefault="00484209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D3B78A6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міська рада, управління економіки</w:t>
            </w:r>
          </w:p>
        </w:tc>
        <w:tc>
          <w:tcPr>
            <w:tcW w:w="1276" w:type="dxa"/>
            <w:vAlign w:val="center"/>
          </w:tcPr>
          <w:p w14:paraId="2D905538" w14:textId="77777777" w:rsidR="00484209" w:rsidRPr="00E3446B" w:rsidRDefault="007009F4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50" w:type="dxa"/>
            <w:vAlign w:val="center"/>
          </w:tcPr>
          <w:p w14:paraId="152201D0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4AC5271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71E396A2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vAlign w:val="center"/>
          </w:tcPr>
          <w:p w14:paraId="4316C009" w14:textId="77777777" w:rsidR="00484209" w:rsidRPr="00E3446B" w:rsidRDefault="00484209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6" w:type="dxa"/>
          </w:tcPr>
          <w:p w14:paraId="5AD1E46C" w14:textId="77777777" w:rsidR="00484209" w:rsidRPr="00E3446B" w:rsidRDefault="00484209" w:rsidP="00892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ставкового фонду за межами населених пунктів для товарного вирощування риби, максимальне охоплення  зарибненням існуючих ставкових</w:t>
            </w:r>
            <w:r w:rsidRPr="00E344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82076" w:rsidRPr="00E3446B" w14:paraId="220EF195" w14:textId="77777777" w:rsidTr="00AA5567">
        <w:trPr>
          <w:trHeight w:val="416"/>
          <w:jc w:val="center"/>
        </w:trPr>
        <w:tc>
          <w:tcPr>
            <w:tcW w:w="709" w:type="dxa"/>
            <w:vAlign w:val="center"/>
          </w:tcPr>
          <w:p w14:paraId="2523074A" w14:textId="77777777" w:rsidR="00F82076" w:rsidRPr="00E3446B" w:rsidRDefault="000C34BD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BDB7368" w14:textId="77777777" w:rsidR="00F82076" w:rsidRPr="00E3446B" w:rsidRDefault="004113AB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Знищення </w:t>
            </w: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борщівника Сосновського</w:t>
            </w:r>
          </w:p>
        </w:tc>
        <w:tc>
          <w:tcPr>
            <w:tcW w:w="2787" w:type="dxa"/>
            <w:vAlign w:val="center"/>
          </w:tcPr>
          <w:p w14:paraId="3CE7283C" w14:textId="77777777" w:rsidR="00F82076" w:rsidRPr="00E3446B" w:rsidRDefault="00F82076" w:rsidP="00454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E344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Знищення </w:t>
            </w: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борщівника Сосновського на території громади шляхом систематичного скошування, підрізування коренів або методом хімічного обробітку.</w:t>
            </w:r>
          </w:p>
        </w:tc>
        <w:tc>
          <w:tcPr>
            <w:tcW w:w="899" w:type="dxa"/>
            <w:vAlign w:val="center"/>
          </w:tcPr>
          <w:p w14:paraId="0AFF5C45" w14:textId="77777777" w:rsidR="00F82076" w:rsidRPr="00E3446B" w:rsidRDefault="00F82076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2022-</w:t>
            </w:r>
          </w:p>
          <w:p w14:paraId="018367B6" w14:textId="77777777" w:rsidR="00F82076" w:rsidRPr="00E3446B" w:rsidRDefault="00F82076" w:rsidP="00454AE6">
            <w:pPr>
              <w:spacing w:after="0" w:line="240" w:lineRule="auto"/>
              <w:ind w:left="-855" w:firstLine="8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292E5DC7" w14:textId="77777777" w:rsidR="00F82076" w:rsidRPr="00E3446B" w:rsidRDefault="00F82076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2D058A8" w14:textId="77777777" w:rsidR="00F82076" w:rsidRPr="00E3446B" w:rsidRDefault="00F82076" w:rsidP="00454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міська рада, управління благоустрою та інфраструктури</w:t>
            </w:r>
          </w:p>
        </w:tc>
        <w:tc>
          <w:tcPr>
            <w:tcW w:w="1276" w:type="dxa"/>
            <w:vAlign w:val="center"/>
          </w:tcPr>
          <w:p w14:paraId="3DE627AB" w14:textId="77777777" w:rsidR="00F82076" w:rsidRPr="00E3446B" w:rsidRDefault="00F82076" w:rsidP="00410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750" w:type="dxa"/>
            <w:vAlign w:val="center"/>
          </w:tcPr>
          <w:p w14:paraId="418CAC4E" w14:textId="77777777" w:rsidR="00F82076" w:rsidRPr="00E3446B" w:rsidRDefault="00542D19" w:rsidP="00A7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14:paraId="4CBAF65D" w14:textId="77777777" w:rsidR="00F82076" w:rsidRPr="00E3446B" w:rsidRDefault="00542D19" w:rsidP="00A7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14:paraId="3B8A394F" w14:textId="77777777" w:rsidR="00F82076" w:rsidRPr="00E3446B" w:rsidRDefault="00542D19" w:rsidP="00A7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4" w:type="dxa"/>
            <w:vAlign w:val="center"/>
          </w:tcPr>
          <w:p w14:paraId="40C55847" w14:textId="77777777" w:rsidR="00F82076" w:rsidRPr="00E3446B" w:rsidRDefault="00542D19" w:rsidP="00A7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56" w:type="dxa"/>
          </w:tcPr>
          <w:p w14:paraId="6DD867B1" w14:textId="77777777" w:rsidR="00F82076" w:rsidRPr="00E3446B" w:rsidRDefault="00295439" w:rsidP="0029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Перешкоджання поширенню на території ТГ </w:t>
            </w:r>
            <w:r w:rsidRPr="00E3446B">
              <w:rPr>
                <w:rFonts w:ascii="Times New Roman" w:eastAsia="Calibri" w:hAnsi="Times New Roman" w:cs="Times New Roman"/>
                <w:sz w:val="24"/>
                <w:szCs w:val="24"/>
              </w:rPr>
              <w:t>борщівника Сосновського</w:t>
            </w:r>
          </w:p>
        </w:tc>
      </w:tr>
      <w:tr w:rsidR="00454AE6" w:rsidRPr="00AA5567" w14:paraId="7E4A937F" w14:textId="77777777" w:rsidTr="00AA5567">
        <w:trPr>
          <w:trHeight w:val="416"/>
          <w:jc w:val="center"/>
        </w:trPr>
        <w:tc>
          <w:tcPr>
            <w:tcW w:w="709" w:type="dxa"/>
          </w:tcPr>
          <w:p w14:paraId="32569368" w14:textId="77777777" w:rsidR="00454AE6" w:rsidRPr="00AA5567" w:rsidRDefault="00454AE6" w:rsidP="00AA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61D20D" w14:textId="77777777" w:rsidR="00454AE6" w:rsidRPr="00AA5567" w:rsidRDefault="00454AE6" w:rsidP="00892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2787" w:type="dxa"/>
          </w:tcPr>
          <w:p w14:paraId="49C40B52" w14:textId="77777777" w:rsidR="00454AE6" w:rsidRPr="00AA5567" w:rsidRDefault="00454AE6" w:rsidP="00892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14:paraId="00F33763" w14:textId="77777777" w:rsidR="00454AE6" w:rsidRPr="00AA5567" w:rsidRDefault="00454AE6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0DA08857" w14:textId="77777777" w:rsidR="00454AE6" w:rsidRPr="00AA5567" w:rsidRDefault="00454AE6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B2DFF" w14:textId="77777777" w:rsidR="00454AE6" w:rsidRPr="00AA5567" w:rsidRDefault="00454AE6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6408469" w14:textId="77777777" w:rsidR="00454AE6" w:rsidRPr="00AA5567" w:rsidRDefault="000C34BD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454AE6"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2424A08A" w14:textId="77777777" w:rsidR="00454AE6" w:rsidRPr="00AA5567" w:rsidRDefault="000C34BD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14:paraId="2C2F934B" w14:textId="77777777" w:rsidR="00454AE6" w:rsidRPr="00AA5567" w:rsidRDefault="000C34BD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54" w:type="dxa"/>
            <w:vAlign w:val="center"/>
          </w:tcPr>
          <w:p w14:paraId="383270D3" w14:textId="77777777" w:rsidR="00454AE6" w:rsidRPr="00AA5567" w:rsidRDefault="000C34BD" w:rsidP="0089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456" w:type="dxa"/>
          </w:tcPr>
          <w:p w14:paraId="021F1A8F" w14:textId="77777777" w:rsidR="00454AE6" w:rsidRPr="00AA5567" w:rsidRDefault="00454AE6" w:rsidP="008926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650D3B" w14:textId="3B0E1516" w:rsidR="008926EF" w:rsidRPr="00AA5567" w:rsidRDefault="008926EF" w:rsidP="00AA5567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sectPr w:rsidR="008926EF" w:rsidRPr="00AA5567" w:rsidSect="00E3446B">
      <w:pgSz w:w="16838" w:h="11906" w:orient="landscape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A9EA" w14:textId="77777777" w:rsidR="00AF1DEA" w:rsidRDefault="00AF1DEA" w:rsidP="008926EF">
      <w:pPr>
        <w:spacing w:after="0" w:line="240" w:lineRule="auto"/>
      </w:pPr>
      <w:r>
        <w:separator/>
      </w:r>
    </w:p>
  </w:endnote>
  <w:endnote w:type="continuationSeparator" w:id="0">
    <w:p w14:paraId="741F8AF1" w14:textId="77777777" w:rsidR="00AF1DEA" w:rsidRDefault="00AF1DEA" w:rsidP="008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D89E" w14:textId="77777777" w:rsidR="00AF1DEA" w:rsidRDefault="00AF1DEA" w:rsidP="008926EF">
      <w:pPr>
        <w:spacing w:after="0" w:line="240" w:lineRule="auto"/>
      </w:pPr>
      <w:r>
        <w:separator/>
      </w:r>
    </w:p>
  </w:footnote>
  <w:footnote w:type="continuationSeparator" w:id="0">
    <w:p w14:paraId="209B0E07" w14:textId="77777777" w:rsidR="00AF1DEA" w:rsidRDefault="00AF1DEA" w:rsidP="0089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66851"/>
      <w:docPartObj>
        <w:docPartGallery w:val="Page Numbers (Top of Page)"/>
        <w:docPartUnique/>
      </w:docPartObj>
    </w:sdtPr>
    <w:sdtEndPr/>
    <w:sdtContent>
      <w:p w14:paraId="4005F8A8" w14:textId="51C9C143" w:rsidR="00205E74" w:rsidRDefault="00205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E0">
          <w:rPr>
            <w:noProof/>
          </w:rPr>
          <w:t>6</w:t>
        </w:r>
        <w:r>
          <w:fldChar w:fldCharType="end"/>
        </w:r>
      </w:p>
    </w:sdtContent>
  </w:sdt>
  <w:p w14:paraId="6A06C6B4" w14:textId="77777777" w:rsidR="00531D9A" w:rsidRDefault="00AF1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54E7304"/>
    <w:lvl w:ilvl="0" w:tplc="FFFFFFFF">
      <w:start w:val="1"/>
      <w:numFmt w:val="bullet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36F32EE"/>
    <w:multiLevelType w:val="hybridMultilevel"/>
    <w:tmpl w:val="755CAE9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9"/>
    <w:rsid w:val="00000749"/>
    <w:rsid w:val="000103AB"/>
    <w:rsid w:val="000330B0"/>
    <w:rsid w:val="00043403"/>
    <w:rsid w:val="00083065"/>
    <w:rsid w:val="000C34BD"/>
    <w:rsid w:val="000E2B17"/>
    <w:rsid w:val="000F41E0"/>
    <w:rsid w:val="001106D2"/>
    <w:rsid w:val="0016686B"/>
    <w:rsid w:val="00195B85"/>
    <w:rsid w:val="001A6FC2"/>
    <w:rsid w:val="001E5BE6"/>
    <w:rsid w:val="00205E74"/>
    <w:rsid w:val="00213FD5"/>
    <w:rsid w:val="00287A68"/>
    <w:rsid w:val="00295439"/>
    <w:rsid w:val="002A1BD1"/>
    <w:rsid w:val="002C446E"/>
    <w:rsid w:val="002D1D9B"/>
    <w:rsid w:val="00306215"/>
    <w:rsid w:val="00383F09"/>
    <w:rsid w:val="003A44E2"/>
    <w:rsid w:val="003F255E"/>
    <w:rsid w:val="00410839"/>
    <w:rsid w:val="004113AB"/>
    <w:rsid w:val="0043067E"/>
    <w:rsid w:val="00454AE6"/>
    <w:rsid w:val="00477E28"/>
    <w:rsid w:val="00484209"/>
    <w:rsid w:val="004937F8"/>
    <w:rsid w:val="00493DF6"/>
    <w:rsid w:val="004B2B00"/>
    <w:rsid w:val="004B3FAD"/>
    <w:rsid w:val="004C175D"/>
    <w:rsid w:val="004D5088"/>
    <w:rsid w:val="004F11F7"/>
    <w:rsid w:val="00542D19"/>
    <w:rsid w:val="00553139"/>
    <w:rsid w:val="00563805"/>
    <w:rsid w:val="00593E3B"/>
    <w:rsid w:val="005A15A4"/>
    <w:rsid w:val="00603A43"/>
    <w:rsid w:val="0062201B"/>
    <w:rsid w:val="00626EB1"/>
    <w:rsid w:val="00627166"/>
    <w:rsid w:val="006371DE"/>
    <w:rsid w:val="00650B7D"/>
    <w:rsid w:val="00666AB2"/>
    <w:rsid w:val="006816B6"/>
    <w:rsid w:val="0068281D"/>
    <w:rsid w:val="00696298"/>
    <w:rsid w:val="006A2AB6"/>
    <w:rsid w:val="006A45C7"/>
    <w:rsid w:val="006A78A0"/>
    <w:rsid w:val="006C2477"/>
    <w:rsid w:val="007006DC"/>
    <w:rsid w:val="007009F4"/>
    <w:rsid w:val="00816354"/>
    <w:rsid w:val="00816E01"/>
    <w:rsid w:val="008251DE"/>
    <w:rsid w:val="008926EF"/>
    <w:rsid w:val="008C4974"/>
    <w:rsid w:val="0091716C"/>
    <w:rsid w:val="00933340"/>
    <w:rsid w:val="0094451A"/>
    <w:rsid w:val="009938BB"/>
    <w:rsid w:val="009D137A"/>
    <w:rsid w:val="00A44A8D"/>
    <w:rsid w:val="00AA5567"/>
    <w:rsid w:val="00AD19F4"/>
    <w:rsid w:val="00AE1189"/>
    <w:rsid w:val="00AE126C"/>
    <w:rsid w:val="00AF1DEA"/>
    <w:rsid w:val="00B07EC9"/>
    <w:rsid w:val="00B24A9E"/>
    <w:rsid w:val="00B44BEF"/>
    <w:rsid w:val="00B55255"/>
    <w:rsid w:val="00B67524"/>
    <w:rsid w:val="00BA63B7"/>
    <w:rsid w:val="00BE5F39"/>
    <w:rsid w:val="00C668A5"/>
    <w:rsid w:val="00CF6DF7"/>
    <w:rsid w:val="00D0665A"/>
    <w:rsid w:val="00D23D83"/>
    <w:rsid w:val="00D56FAF"/>
    <w:rsid w:val="00D657D2"/>
    <w:rsid w:val="00E16DEF"/>
    <w:rsid w:val="00E3446B"/>
    <w:rsid w:val="00EB624A"/>
    <w:rsid w:val="00F556DE"/>
    <w:rsid w:val="00F82076"/>
    <w:rsid w:val="00FA78A1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A6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926EF"/>
  </w:style>
  <w:style w:type="paragraph" w:styleId="a5">
    <w:name w:val="footer"/>
    <w:basedOn w:val="a"/>
    <w:link w:val="a6"/>
    <w:uiPriority w:val="99"/>
    <w:unhideWhenUsed/>
    <w:rsid w:val="00892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926EF"/>
  </w:style>
  <w:style w:type="paragraph" w:styleId="a7">
    <w:name w:val="List Paragraph"/>
    <w:basedOn w:val="a"/>
    <w:uiPriority w:val="34"/>
    <w:qFormat/>
    <w:rsid w:val="00D657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6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D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A6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926EF"/>
  </w:style>
  <w:style w:type="paragraph" w:styleId="a5">
    <w:name w:val="footer"/>
    <w:basedOn w:val="a"/>
    <w:link w:val="a6"/>
    <w:uiPriority w:val="99"/>
    <w:unhideWhenUsed/>
    <w:rsid w:val="00892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926EF"/>
  </w:style>
  <w:style w:type="paragraph" w:styleId="a7">
    <w:name w:val="List Paragraph"/>
    <w:basedOn w:val="a"/>
    <w:uiPriority w:val="34"/>
    <w:qFormat/>
    <w:rsid w:val="00D657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6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D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7FC7-0036-4181-91B9-A01460BC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7701</Words>
  <Characters>4391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Dell-user</cp:lastModifiedBy>
  <cp:revision>2</cp:revision>
  <cp:lastPrinted>2021-11-09T09:02:00Z</cp:lastPrinted>
  <dcterms:created xsi:type="dcterms:W3CDTF">2021-12-14T13:48:00Z</dcterms:created>
  <dcterms:modified xsi:type="dcterms:W3CDTF">2021-12-14T13:48:00Z</dcterms:modified>
</cp:coreProperties>
</file>